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</w:pPr>
    </w:p>
    <w:p>
      <w:pPr>
        <w:pStyle w:val="2"/>
        <w:ind w:left="23" w:hanging="14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CK-4010GD 智能型快速高低温程序控制恒温槽</w:t>
      </w:r>
    </w:p>
    <w:p>
      <w:pPr>
        <w:pStyle w:val="3"/>
        <w:ind w:firstLine="560"/>
      </w:pPr>
      <w:r>
        <w:rPr>
          <w:rFonts w:hint="eastAsia"/>
        </w:rPr>
        <w:t>产品说明</w:t>
      </w:r>
    </w:p>
    <w:p>
      <w:pPr>
        <w:pStyle w:val="3"/>
        <w:ind w:firstLine="56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CK系列智能型快速高低温程序控制恒温槽具有自动整定的无超调PID算法，功能齐全，使用方便，是模拟式温控的最佳产品，是医疗器械、实验室仪器必备的常用控温设备，并广泛应用于石油、国防、冶金、化工、物理学、生物工程、化学、医药卫生、生命科学、电子仪表、质检计量、工厂实验、高等院校、科研机构等研究部门。</w:t>
      </w:r>
    </w:p>
    <w:p>
      <w:pPr>
        <w:pStyle w:val="3"/>
        <w:ind w:firstLine="560"/>
      </w:pPr>
      <w:r>
        <w:rPr>
          <w:rFonts w:hint="eastAsia"/>
        </w:rPr>
        <w:t>性能特点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微机智能程序控制，可编辑时间/温度曲线。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智能多段可编温度、时间程序，控制升温、恒温、降温过程，且升温速度、降温速度可按用户要求设置后自动控制。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最多编写储存32个温度/时间段，每个程序段可设置0～9999min运行时间。 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高清晰大液晶触摸显示窗，随时显示当前的温度测量值和温度设置值。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多种参数设定，方便快捷的功能键、移位键、数字增减键，设定温度/时间段及其它高级控制参数。 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采用全封闭高效压缩机制冷，具有超载自动保护功能。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自主识别判断工作温度与模式，高温可以直接开压缩机冷却，升降温速率高效。</w:t>
      </w:r>
    </w:p>
    <w:p>
      <w:pPr>
        <w:pStyle w:val="3"/>
        <w:ind w:firstLine="560"/>
      </w:pPr>
      <w:r>
        <w:rPr>
          <w:rFonts w:hint="eastAsia"/>
        </w:rPr>
        <w:t>仪器参数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型号: </w:t>
      </w:r>
      <w:r>
        <w:rPr>
          <w:rFonts w:hint="eastAsia"/>
          <w:lang w:val="en-US" w:eastAsia="zh-CN"/>
        </w:rPr>
        <w:t>CK-4010GD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温度范围（℃）：</w:t>
      </w:r>
      <w:r>
        <w:rPr>
          <w:rFonts w:hint="default"/>
          <w:lang w:val="en-US" w:eastAsia="zh-CN"/>
        </w:rPr>
        <w:t>-40℃</w:t>
      </w:r>
      <w:r>
        <w:rPr>
          <w:rFonts w:hint="eastAsia"/>
          <w:lang w:val="en-US" w:eastAsia="zh-CN"/>
        </w:rPr>
        <w:t>~</w:t>
      </w:r>
      <w:r>
        <w:rPr>
          <w:rFonts w:hint="default"/>
          <w:lang w:val="en-US" w:eastAsia="zh-CN"/>
        </w:rPr>
        <w:t>200℃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冷槽容积（L）</w:t>
      </w:r>
      <w:r>
        <w:rPr>
          <w:rFonts w:hint="eastAsia"/>
          <w:lang w:val="en-US" w:eastAsia="zh-CN"/>
        </w:rPr>
        <w:t>：10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控温精度（℃）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±0.1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泵流量（L/min）</w:t>
      </w:r>
      <w:r>
        <w:rPr>
          <w:rFonts w:hint="eastAsia"/>
          <w:lang w:val="en-US" w:eastAsia="zh-CN"/>
        </w:rPr>
        <w:t>：15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控温段数（位）</w:t>
      </w:r>
      <w:r>
        <w:rPr>
          <w:rFonts w:hint="eastAsia"/>
          <w:lang w:val="en-US" w:eastAsia="zh-CN"/>
        </w:rPr>
        <w:t>:32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排水口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加热功率（W）</w:t>
      </w:r>
      <w:r>
        <w:rPr>
          <w:rFonts w:hint="eastAsia"/>
          <w:lang w:val="en-US" w:eastAsia="zh-CN"/>
        </w:rPr>
        <w:t>:2500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制冷量（20℃/W）</w:t>
      </w:r>
      <w:r>
        <w:rPr>
          <w:rFonts w:hint="eastAsia"/>
          <w:lang w:val="en-US" w:eastAsia="zh-CN"/>
        </w:rPr>
        <w:t>:1650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工作电压（V）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220V/50Hz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外形尺寸（mm）：615*505*895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</w:rPr>
      </w:pPr>
      <w:r>
        <w:drawing>
          <wp:inline distT="0" distB="0" distL="114300" distR="114300">
            <wp:extent cx="2809875" cy="409829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794" w:footer="1077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b/>
          <w:bCs/>
          <w:color w:val="00AAAB"/>
          <w:sz w:val="18"/>
          <w:szCs w:val="18"/>
        </w:rPr>
      </w:sdtEndPr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>
    <w:pPr>
      <w:wordWrap w:val="0"/>
      <w:ind w:firstLine="240"/>
      <w:jc w:val="right"/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NINGBO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SCIENTZ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BIOTECHNOLOGY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CO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., LTD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0574-87134807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87133995</w:t>
    </w: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、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56202593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20"/>
      <w:jc w:val="right"/>
      <w:rPr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4546A" w:themeColor="text2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  <w14:textFill>
          <w14:solidFill>
            <w14:schemeClr w14:val="tx2"/>
          </w14:solidFill>
        </w14:textFill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>
    <w:pPr>
      <w:ind w:firstLine="320"/>
      <w:jc w:val="right"/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宁波市高新区木槿路6</w:t>
    </w: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</w:t>
    </w: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</w:t>
    </w:r>
  </w:p>
  <w:p>
    <w:pPr>
      <w:ind w:right="80" w:firstLine="320"/>
      <w:jc w:val="right"/>
      <w:rPr>
        <w:rFonts w:hint="eastAsia"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web:www.scientz.com </w:t>
    </w:r>
  </w:p>
  <w:p>
    <w:pPr>
      <w:wordWrap w:val="0"/>
      <w:ind w:right="560" w:firstLine="320"/>
      <w:jc w:val="right"/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84D3E"/>
    <w:multiLevelType w:val="multilevel"/>
    <w:tmpl w:val="63784D3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506E42"/>
    <w:rsid w:val="00544770"/>
    <w:rsid w:val="00576BE9"/>
    <w:rsid w:val="005C738E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32F58DB"/>
    <w:rsid w:val="0A141850"/>
    <w:rsid w:val="0D167098"/>
    <w:rsid w:val="1211388F"/>
    <w:rsid w:val="1E740ACF"/>
    <w:rsid w:val="2DE04941"/>
    <w:rsid w:val="34E13ACE"/>
    <w:rsid w:val="3AB5712C"/>
    <w:rsid w:val="3B7014C7"/>
    <w:rsid w:val="3F0136B0"/>
    <w:rsid w:val="3F8B37CA"/>
    <w:rsid w:val="41467690"/>
    <w:rsid w:val="4429521B"/>
    <w:rsid w:val="4DCC1D21"/>
    <w:rsid w:val="4EA12919"/>
    <w:rsid w:val="6040767B"/>
    <w:rsid w:val="61C75B20"/>
    <w:rsid w:val="74C853FD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widowControl w:val="0"/>
      <w:spacing w:line="360" w:lineRule="auto"/>
      <w:ind w:left="28" w:leftChars="-51" w:hanging="135" w:hangingChars="4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eastAsia="Songti SC" w:asciiTheme="majorHAnsi" w:hAnsiTheme="majorHAnsi" w:cstheme="majorBidi"/>
      <w:b/>
      <w:bCs/>
      <w:color w:val="00ACAC"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占位符文本1"/>
    <w:basedOn w:val="8"/>
    <w:semiHidden/>
    <w:qFormat/>
    <w:uiPriority w:val="99"/>
    <w:rPr>
      <w:color w:val="808080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color w:val="000000"/>
      <w:sz w:val="32"/>
      <w:szCs w:val="20"/>
    </w:rPr>
  </w:style>
  <w:style w:type="character" w:customStyle="1" w:styleId="15">
    <w:name w:val="标题 2 字符"/>
    <w:basedOn w:val="8"/>
    <w:link w:val="3"/>
    <w:qFormat/>
    <w:uiPriority w:val="9"/>
    <w:rPr>
      <w:rFonts w:eastAsia="Songti SC" w:asciiTheme="majorHAnsi" w:hAnsiTheme="majorHAnsi" w:cstheme="majorBidi"/>
      <w:b/>
      <w:bCs/>
      <w:color w:val="00ACAC"/>
      <w:sz w:val="28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D611F-B1BF-3744-81F0-DD6175387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2019-10-17T06:02:00Z</dcterms:created>
  <dc:creator>宁波新芝生物科技股份有限公司</dc:creator>
  <cp:lastModifiedBy>5lovesen</cp:lastModifiedBy>
  <cp:lastPrinted>2019-10-17T06:15:00Z</cp:lastPrinted>
  <dcterms:modified xsi:type="dcterms:W3CDTF">2021-06-08T06:04:58Z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90EB341FC4934AEC946829B79404EAC3</vt:lpwstr>
  </property>
</Properties>
</file>